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E56D55" w14:textId="77777777" w:rsidR="00054158" w:rsidRDefault="005B74B2">
      <w:pPr>
        <w:pStyle w:val="af"/>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5"/>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c"/>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c"/>
              <w:numPr>
                <w:ilvl w:val="1"/>
                <w:numId w:val="16"/>
              </w:numPr>
            </w:pPr>
            <w:r>
              <w:t>Each slot group consists of X slots</w:t>
            </w:r>
          </w:p>
          <w:p w14:paraId="7A2704D9" w14:textId="77777777" w:rsidR="00054158" w:rsidRDefault="005B74B2">
            <w:pPr>
              <w:pStyle w:val="afc"/>
              <w:numPr>
                <w:ilvl w:val="1"/>
                <w:numId w:val="16"/>
              </w:numPr>
            </w:pPr>
            <w:r>
              <w:t>Slot groups are consecutive and non-overlapping</w:t>
            </w:r>
          </w:p>
          <w:p w14:paraId="45F1F55D" w14:textId="77777777" w:rsidR="00054158" w:rsidRDefault="005B74B2">
            <w:pPr>
              <w:pStyle w:val="afc"/>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c"/>
              <w:numPr>
                <w:ilvl w:val="2"/>
                <w:numId w:val="16"/>
              </w:numPr>
            </w:pPr>
            <w:r>
              <w:t>The location of the Y slots within the X slots is maintained across different slot groups</w:t>
            </w:r>
          </w:p>
          <w:p w14:paraId="44EF350A" w14:textId="77777777" w:rsidR="00054158" w:rsidRDefault="005B74B2">
            <w:pPr>
              <w:pStyle w:val="afc"/>
              <w:numPr>
                <w:ilvl w:val="1"/>
                <w:numId w:val="16"/>
              </w:numPr>
            </w:pPr>
            <w:r>
              <w:t>Further discuss down-selection of Y within 1&lt;=Y&lt;=X/2 (both in units of slot) when X&gt;1</w:t>
            </w:r>
          </w:p>
          <w:p w14:paraId="27D29AC6" w14:textId="77777777" w:rsidR="00054158" w:rsidRDefault="005B74B2">
            <w:pPr>
              <w:pStyle w:val="afc"/>
              <w:numPr>
                <w:ilvl w:val="1"/>
                <w:numId w:val="16"/>
              </w:numPr>
            </w:pPr>
            <w:r>
              <w:t>FFS: Further definition of capabilities</w:t>
            </w:r>
          </w:p>
          <w:p w14:paraId="5588651C" w14:textId="77777777" w:rsidR="00054158" w:rsidRDefault="005B74B2">
            <w:pPr>
              <w:pStyle w:val="afc"/>
              <w:numPr>
                <w:ilvl w:val="0"/>
                <w:numId w:val="16"/>
              </w:numPr>
            </w:pPr>
            <w:r>
              <w:t>FFS: The following issues for the search space configuration discussion</w:t>
            </w:r>
          </w:p>
          <w:p w14:paraId="6C9BD270" w14:textId="77777777" w:rsidR="00054158" w:rsidRDefault="005B74B2">
            <w:pPr>
              <w:pStyle w:val="afc"/>
              <w:numPr>
                <w:ilvl w:val="1"/>
                <w:numId w:val="16"/>
              </w:numPr>
            </w:pPr>
            <w:r>
              <w:t>Whether a slot group is aligned with a slot boundary</w:t>
            </w:r>
          </w:p>
          <w:p w14:paraId="30E508C7" w14:textId="77777777" w:rsidR="00054158" w:rsidRDefault="005B74B2">
            <w:pPr>
              <w:pStyle w:val="afc"/>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afc"/>
              <w:widowControl/>
              <w:numPr>
                <w:ilvl w:val="0"/>
                <w:numId w:val="16"/>
              </w:numPr>
            </w:pPr>
            <w:r>
              <w:t>FFS: What the UE capability defines for monitoring within the Y slots</w:t>
            </w:r>
          </w:p>
          <w:p w14:paraId="3D9CDEA7" w14:textId="77777777" w:rsidR="00054158" w:rsidRDefault="005B74B2">
            <w:pPr>
              <w:pStyle w:val="afc"/>
              <w:widowControl/>
              <w:numPr>
                <w:ilvl w:val="0"/>
                <w:numId w:val="16"/>
              </w:numPr>
            </w:pPr>
            <w:r>
              <w:t>Alt 2: Use an (X, Y) span as the baseline to define the new capability</w:t>
            </w:r>
          </w:p>
          <w:p w14:paraId="46166EAE" w14:textId="77777777" w:rsidR="00054158" w:rsidRDefault="005B74B2">
            <w:pPr>
              <w:pStyle w:val="afc"/>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c"/>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c"/>
              <w:widowControl/>
              <w:numPr>
                <w:ilvl w:val="1"/>
                <w:numId w:val="16"/>
              </w:numPr>
            </w:pPr>
            <w:r>
              <w:t>Y &lt;= X</w:t>
            </w:r>
          </w:p>
          <w:p w14:paraId="2A0DCBA9" w14:textId="77777777" w:rsidR="00054158" w:rsidRDefault="005B74B2">
            <w:pPr>
              <w:pStyle w:val="afc"/>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c"/>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c"/>
              <w:widowControl/>
              <w:numPr>
                <w:ilvl w:val="1"/>
                <w:numId w:val="16"/>
              </w:numPr>
            </w:pPr>
            <w:r>
              <w:t>FFS: Further definition of capabilities</w:t>
            </w:r>
          </w:p>
          <w:p w14:paraId="671319D2" w14:textId="77777777" w:rsidR="00054158" w:rsidRDefault="005B74B2">
            <w:pPr>
              <w:pStyle w:val="afc"/>
              <w:widowControl/>
              <w:numPr>
                <w:ilvl w:val="0"/>
                <w:numId w:val="16"/>
              </w:numPr>
            </w:pPr>
            <w:r>
              <w:t xml:space="preserve">Alt 3: Use a sliding window of X slots as the baseline to define the new capability. </w:t>
            </w:r>
          </w:p>
          <w:p w14:paraId="62D28685" w14:textId="77777777" w:rsidR="00054158" w:rsidRDefault="005B74B2">
            <w:pPr>
              <w:pStyle w:val="afc"/>
              <w:widowControl/>
              <w:numPr>
                <w:ilvl w:val="1"/>
                <w:numId w:val="16"/>
              </w:numPr>
            </w:pPr>
            <w:r>
              <w:t>The capability indicates the BD/CCE budget within the sliding window</w:t>
            </w:r>
          </w:p>
          <w:p w14:paraId="417F9879" w14:textId="77777777" w:rsidR="00054158" w:rsidRDefault="005B74B2">
            <w:pPr>
              <w:pStyle w:val="afc"/>
              <w:widowControl/>
              <w:numPr>
                <w:ilvl w:val="1"/>
                <w:numId w:val="16"/>
              </w:numPr>
            </w:pPr>
            <w:r>
              <w:t xml:space="preserve"> The sliding unit of the sliding window is [1] slot.</w:t>
            </w:r>
          </w:p>
          <w:p w14:paraId="570932F9" w14:textId="77777777" w:rsidR="00054158" w:rsidRDefault="005B74B2">
            <w:pPr>
              <w:pStyle w:val="afc"/>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5"/>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c"/>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c"/>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c"/>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5"/>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c"/>
              <w:widowControl/>
              <w:numPr>
                <w:ilvl w:val="0"/>
                <w:numId w:val="16"/>
              </w:numPr>
            </w:pPr>
            <w:r>
              <w:t>Alt 2: Use an (X, Y) span as the baseline to define the new capability</w:t>
            </w:r>
          </w:p>
          <w:p w14:paraId="6A6784B3" w14:textId="77777777" w:rsidR="00054158" w:rsidRDefault="005B74B2">
            <w:pPr>
              <w:pStyle w:val="afc"/>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c"/>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c"/>
              <w:widowControl/>
              <w:numPr>
                <w:ilvl w:val="1"/>
                <w:numId w:val="16"/>
              </w:numPr>
              <w:rPr>
                <w:strike/>
                <w:color w:val="FF0000"/>
              </w:rPr>
            </w:pPr>
            <w:r>
              <w:rPr>
                <w:strike/>
                <w:color w:val="FF0000"/>
              </w:rPr>
              <w:t>Y &lt;= X</w:t>
            </w:r>
          </w:p>
          <w:p w14:paraId="1A5A903A" w14:textId="77777777" w:rsidR="00054158" w:rsidRDefault="005B74B2">
            <w:pPr>
              <w:pStyle w:val="afc"/>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c"/>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c"/>
              <w:widowControl/>
              <w:numPr>
                <w:ilvl w:val="1"/>
                <w:numId w:val="16"/>
              </w:numPr>
              <w:rPr>
                <w:strike/>
                <w:color w:val="FF0000"/>
              </w:rPr>
            </w:pPr>
            <w:r>
              <w:rPr>
                <w:strike/>
                <w:color w:val="FF0000"/>
              </w:rPr>
              <w:t>FFS: Further definition of capabilities</w:t>
            </w:r>
          </w:p>
          <w:p w14:paraId="2B4E40E8" w14:textId="77777777" w:rsidR="00054158" w:rsidRDefault="005B74B2">
            <w:pPr>
              <w:pStyle w:val="afc"/>
              <w:widowControl/>
              <w:numPr>
                <w:ilvl w:val="1"/>
                <w:numId w:val="16"/>
              </w:numPr>
              <w:rPr>
                <w:color w:val="FF0000"/>
              </w:rPr>
            </w:pPr>
            <w:r>
              <w:rPr>
                <w:color w:val="FF0000"/>
              </w:rPr>
              <w:t>Dropping rule from Rel-15 can be reused</w:t>
            </w:r>
          </w:p>
          <w:p w14:paraId="741CD221" w14:textId="77777777" w:rsidR="00054158" w:rsidRDefault="005B74B2">
            <w:pPr>
              <w:pStyle w:val="afc"/>
              <w:widowControl/>
              <w:numPr>
                <w:ilvl w:val="1"/>
                <w:numId w:val="16"/>
              </w:numPr>
              <w:rPr>
                <w:color w:val="FF0000"/>
              </w:rPr>
            </w:pPr>
            <w:r>
              <w:rPr>
                <w:color w:val="FF0000"/>
              </w:rPr>
              <w:t>[For CA case, spans in different carriers are aligned.]</w:t>
            </w:r>
          </w:p>
          <w:p w14:paraId="10B631A1" w14:textId="77777777" w:rsidR="00054158" w:rsidRDefault="005B74B2">
            <w:pPr>
              <w:pStyle w:val="afc"/>
              <w:widowControl/>
              <w:numPr>
                <w:ilvl w:val="1"/>
                <w:numId w:val="16"/>
              </w:numPr>
              <w:rPr>
                <w:color w:val="FF0000"/>
              </w:rPr>
            </w:pPr>
            <w:r>
              <w:rPr>
                <w:color w:val="FF0000"/>
              </w:rPr>
              <w:t>For 480 kHz SCS, support (X,Y)=</w:t>
            </w:r>
          </w:p>
          <w:p w14:paraId="389AA7DC" w14:textId="77777777" w:rsidR="00054158" w:rsidRPr="002D3CF1" w:rsidRDefault="005B74B2">
            <w:pPr>
              <w:pStyle w:val="afc"/>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afc"/>
              <w:widowControl/>
              <w:numPr>
                <w:ilvl w:val="1"/>
                <w:numId w:val="16"/>
              </w:numPr>
              <w:rPr>
                <w:color w:val="FF0000"/>
              </w:rPr>
            </w:pPr>
            <w:r>
              <w:rPr>
                <w:color w:val="FF0000"/>
              </w:rPr>
              <w:t>For 960 kHz SCS, support (X,Y)=</w:t>
            </w:r>
          </w:p>
          <w:p w14:paraId="7CAA57BF" w14:textId="77777777" w:rsidR="00054158" w:rsidRPr="002D3CF1" w:rsidRDefault="005B74B2">
            <w:pPr>
              <w:pStyle w:val="afc"/>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afc"/>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c"/>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c"/>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c"/>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c"/>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c"/>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c"/>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c"/>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afc"/>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c"/>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afc"/>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afc"/>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afc"/>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afc"/>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afc"/>
              <w:numPr>
                <w:ilvl w:val="0"/>
                <w:numId w:val="82"/>
              </w:numPr>
              <w:rPr>
                <w:lang w:eastAsia="zh-CN"/>
              </w:rPr>
            </w:pPr>
            <w:r>
              <w:rPr>
                <w:lang w:eastAsia="zh-CN"/>
              </w:rPr>
              <w:t>a capability to indicate supported (X,Y)</w:t>
            </w:r>
          </w:p>
          <w:p w14:paraId="0F2044F1" w14:textId="77777777" w:rsidR="00126310" w:rsidRDefault="00126310" w:rsidP="00126310">
            <w:pPr>
              <w:pStyle w:val="afc"/>
              <w:numPr>
                <w:ilvl w:val="0"/>
                <w:numId w:val="82"/>
              </w:numPr>
              <w:rPr>
                <w:lang w:eastAsia="zh-CN"/>
              </w:rPr>
            </w:pPr>
            <w:r>
              <w:rPr>
                <w:lang w:eastAsia="zh-CN"/>
              </w:rPr>
              <w:t xml:space="preserve">a capability to indicate </w:t>
            </w:r>
          </w:p>
          <w:p w14:paraId="7329A78B" w14:textId="29456A7A" w:rsidR="00126310" w:rsidRDefault="00126310" w:rsidP="00126310">
            <w:pPr>
              <w:pStyle w:val="afc"/>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afc"/>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afc"/>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afc"/>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afc"/>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afc"/>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afc"/>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afc"/>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afc"/>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afc"/>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afc"/>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afc"/>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afc"/>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afc"/>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afc"/>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afc"/>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afc"/>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afc"/>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af5"/>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afc"/>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afc"/>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afc"/>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afc"/>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afc"/>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afc"/>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afc"/>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afc"/>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afc"/>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afc"/>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56.25pt" o:ole="">
                  <v:imagedata r:id="rId8" o:title=""/>
                </v:shape>
                <o:OLEObject Type="Embed" ProgID="Visio.Drawing.15" ShapeID="_x0000_i1025" DrawAspect="Content" ObjectID="_1695745582" r:id="rId9"/>
              </w:object>
            </w:r>
          </w:p>
          <w:p w14:paraId="513FEC08" w14:textId="172108C5" w:rsidR="00C17D56" w:rsidRPr="004F304B" w:rsidRDefault="004F304B" w:rsidP="004F304B">
            <w:pPr>
              <w:pStyle w:val="afc"/>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afc"/>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afc"/>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 xml:space="preserve">have the time for </w:t>
            </w:r>
            <w:bookmarkStart w:id="0" w:name="_GoBack"/>
            <w:bookmarkEnd w:id="0"/>
            <w:r w:rsidR="004A0D1D">
              <w:rPr>
                <w:lang w:eastAsia="zh-CN"/>
              </w:rPr>
              <w:t>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5"/>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c"/>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c"/>
              <w:numPr>
                <w:ilvl w:val="0"/>
                <w:numId w:val="19"/>
              </w:numPr>
              <w:rPr>
                <w:rFonts w:ascii="Times New Roman" w:hAnsi="Times New Roman"/>
                <w:lang w:eastAsia="zh-CN"/>
              </w:rPr>
            </w:pPr>
            <w:r>
              <w:rPr>
                <w:rFonts w:ascii="Times New Roman" w:hAnsi="Times New Roman"/>
                <w:lang w:eastAsia="zh-CN"/>
              </w:rPr>
              <w:lastRenderedPageBreak/>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w:t>
            </w:r>
            <w:r>
              <w:rPr>
                <w:lang w:eastAsia="zh-CN"/>
              </w:rPr>
              <w:lastRenderedPageBreak/>
              <w:t xml:space="preserve">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lastRenderedPageBreak/>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c"/>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c"/>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lastRenderedPageBreak/>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af5"/>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w:t>
            </w:r>
            <w:r>
              <w:rPr>
                <w:rFonts w:hint="eastAsia"/>
                <w:lang w:eastAsia="zh-CN"/>
              </w:rPr>
              <w:lastRenderedPageBreak/>
              <w:t>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lastRenderedPageBreak/>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lastRenderedPageBreak/>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5"/>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lastRenderedPageBreak/>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lastRenderedPageBreak/>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c"/>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c"/>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c"/>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c"/>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5"/>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054158" w14:paraId="617375A5" w14:textId="77777777">
        <w:tc>
          <w:tcPr>
            <w:tcW w:w="2405" w:type="dxa"/>
          </w:tcPr>
          <w:p w14:paraId="1B79D35E" w14:textId="77777777" w:rsidR="00054158" w:rsidRDefault="005B74B2">
            <w:r>
              <w:rPr>
                <w:rFonts w:hint="eastAsia"/>
              </w:rPr>
              <w:lastRenderedPageBreak/>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c"/>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c"/>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c"/>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c"/>
        <w:numPr>
          <w:ilvl w:val="1"/>
          <w:numId w:val="22"/>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c"/>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c"/>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c"/>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c"/>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c"/>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5"/>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lastRenderedPageBreak/>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c"/>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5"/>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c"/>
              <w:numPr>
                <w:ilvl w:val="0"/>
                <w:numId w:val="23"/>
              </w:numPr>
              <w:rPr>
                <w:lang w:eastAsia="zh-CN"/>
              </w:rPr>
            </w:pPr>
            <w:r>
              <w:rPr>
                <w:lang w:eastAsia="zh-CN"/>
              </w:rPr>
              <w:t>Shouldn't it be k &gt; j (instead of k &gt;= j)?</w:t>
            </w:r>
          </w:p>
          <w:p w14:paraId="31DA2BAF" w14:textId="77777777" w:rsidR="00054158" w:rsidRDefault="005B74B2">
            <w:pPr>
              <w:pStyle w:val="afc"/>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c"/>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lastRenderedPageBreak/>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5"/>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lastRenderedPageBreak/>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lastRenderedPageBreak/>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5"/>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lastRenderedPageBreak/>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5"/>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lastRenderedPageBreak/>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2"/>
      </w:pPr>
      <w:r>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c"/>
        <w:numPr>
          <w:ilvl w:val="0"/>
          <w:numId w:val="26"/>
        </w:numPr>
        <w:rPr>
          <w:bCs/>
        </w:rPr>
      </w:pPr>
      <w:r>
        <w:rPr>
          <w:bCs/>
        </w:rPr>
        <w:t>Remaining CO duration</w:t>
      </w:r>
    </w:p>
    <w:p w14:paraId="219AA754" w14:textId="77777777" w:rsidR="00054158" w:rsidRDefault="005B74B2">
      <w:pPr>
        <w:pStyle w:val="afc"/>
        <w:numPr>
          <w:ilvl w:val="0"/>
          <w:numId w:val="26"/>
        </w:numPr>
        <w:rPr>
          <w:bCs/>
        </w:rPr>
      </w:pPr>
      <w:r>
        <w:rPr>
          <w:bCs/>
        </w:rPr>
        <w:t>Available RB set</w:t>
      </w:r>
    </w:p>
    <w:p w14:paraId="4511FC2F" w14:textId="77777777" w:rsidR="00054158" w:rsidRDefault="005B74B2">
      <w:pPr>
        <w:pStyle w:val="afc"/>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lastRenderedPageBreak/>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Topic D: Multi-Cell Operation, Cross-carrier scheduling</w:t>
      </w:r>
    </w:p>
    <w:p w14:paraId="27E3632C" w14:textId="77777777" w:rsidR="00054158" w:rsidRDefault="005B74B2">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c"/>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c"/>
        <w:numPr>
          <w:ilvl w:val="1"/>
          <w:numId w:val="27"/>
        </w:numPr>
        <w:spacing w:before="120"/>
        <w:rPr>
          <w:lang w:val="en-GB"/>
        </w:rPr>
      </w:pPr>
      <w:r>
        <w:rPr>
          <w:lang w:val="en-GB"/>
        </w:rPr>
        <w:t>Alt 1: k=3</w:t>
      </w:r>
    </w:p>
    <w:p w14:paraId="6B759E86" w14:textId="77777777" w:rsidR="00054158" w:rsidRDefault="005B74B2">
      <w:pPr>
        <w:pStyle w:val="afc"/>
        <w:numPr>
          <w:ilvl w:val="1"/>
          <w:numId w:val="27"/>
        </w:numPr>
        <w:spacing w:before="120"/>
        <w:rPr>
          <w:lang w:val="en-GB"/>
        </w:rPr>
      </w:pPr>
      <w:r>
        <w:rPr>
          <w:lang w:val="en-GB"/>
        </w:rPr>
        <w:t>Alt 2: k=4</w:t>
      </w:r>
    </w:p>
    <w:tbl>
      <w:tblPr>
        <w:tblStyle w:val="af5"/>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lastRenderedPageBreak/>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lastRenderedPageBreak/>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5"/>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lastRenderedPageBreak/>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c"/>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afc"/>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c"/>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afc"/>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c"/>
              <w:numPr>
                <w:ilvl w:val="0"/>
                <w:numId w:val="32"/>
              </w:numPr>
              <w:snapToGrid/>
              <w:spacing w:after="160"/>
              <w:contextualSpacing/>
              <w:rPr>
                <w:b/>
                <w:bCs/>
              </w:rPr>
            </w:pPr>
            <w:r>
              <w:rPr>
                <w:b/>
                <w:bCs/>
              </w:rPr>
              <w:t>For SCS 480 kHz, X= {1,2,4} slots</w:t>
            </w:r>
          </w:p>
          <w:p w14:paraId="75A0CABF" w14:textId="77777777" w:rsidR="00054158" w:rsidRDefault="005B74B2">
            <w:pPr>
              <w:pStyle w:val="afc"/>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바탕"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afc"/>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c"/>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a"/>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aa"/>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aa"/>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aa"/>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aa"/>
              <w:rPr>
                <w:rFonts w:eastAsia="SimSun"/>
                <w:b/>
                <w:lang w:val="en-GB" w:eastAsia="zh-CN"/>
              </w:rPr>
            </w:pPr>
          </w:p>
          <w:p w14:paraId="4990D893" w14:textId="77777777" w:rsidR="00054158" w:rsidRDefault="005B74B2">
            <w:pPr>
              <w:pStyle w:val="aa"/>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a"/>
              <w:rPr>
                <w:rFonts w:eastAsia="SimSun"/>
                <w:b/>
                <w:lang w:val="en-GB" w:eastAsia="zh-CN"/>
              </w:rPr>
            </w:pPr>
          </w:p>
          <w:p w14:paraId="7DB2B8B1" w14:textId="77777777" w:rsidR="00054158" w:rsidRDefault="00054158">
            <w:pPr>
              <w:pStyle w:val="aa"/>
              <w:rPr>
                <w:rFonts w:eastAsia="SimSun"/>
                <w:b/>
                <w:lang w:val="en-GB" w:eastAsia="zh-CN"/>
              </w:rPr>
            </w:pPr>
          </w:p>
          <w:p w14:paraId="4C6466E5" w14:textId="77777777" w:rsidR="00054158" w:rsidRDefault="005B74B2">
            <w:pPr>
              <w:pStyle w:val="aa"/>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aa"/>
              <w:rPr>
                <w:rFonts w:eastAsia="SimSun"/>
                <w:lang w:val="en-GB" w:eastAsia="zh-CN"/>
              </w:rPr>
            </w:pPr>
          </w:p>
          <w:p w14:paraId="307830C9" w14:textId="77777777" w:rsidR="00054158" w:rsidRDefault="005B74B2">
            <w:pPr>
              <w:pStyle w:val="aa"/>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7"/>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7"/>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7"/>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7"/>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7"/>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745583" r:id="rId12"/>
              </w:object>
            </w:r>
          </w:p>
          <w:p w14:paraId="4B389892" w14:textId="77777777" w:rsidR="00054158" w:rsidRDefault="005B74B2">
            <w:pPr>
              <w:pStyle w:val="a7"/>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c"/>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c"/>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7" type="#_x0000_t75" alt="" style="width:466.5pt;height:85.5pt;mso-width-percent:0;mso-height-percent:0;mso-width-percent:0;mso-height-percent:0" o:ole="">
                  <v:imagedata r:id="rId13" o:title=""/>
                </v:shape>
                <o:OLEObject Type="Embed" ProgID="Visio.Drawing.11" ShapeID="_x0000_i1027" DrawAspect="Content" ObjectID="_1695745584" r:id="rId14"/>
              </w:object>
            </w:r>
          </w:p>
          <w:p w14:paraId="36E67F04" w14:textId="77777777" w:rsidR="00054158" w:rsidRDefault="005B74B2">
            <w:pPr>
              <w:pStyle w:val="a7"/>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a"/>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바탕"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aa"/>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바탕"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a"/>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8" type="#_x0000_t75" alt="" style="width:275.25pt;height:144.75pt;mso-width-percent:0;mso-height-percent:0;mso-width-percent:0;mso-height-percent:0" o:ole="">
                  <v:imagedata r:id="rId15" o:title=""/>
                </v:shape>
                <o:OLEObject Type="Embed" ProgID="Visio.Drawing.15" ShapeID="_x0000_i1028" DrawAspect="Content" ObjectID="_1695745585" r:id="rId16"/>
              </w:object>
            </w:r>
          </w:p>
          <w:p w14:paraId="78A0B408" w14:textId="77777777" w:rsidR="00054158" w:rsidRDefault="005B74B2">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a"/>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aa"/>
            </w:pPr>
          </w:p>
          <w:p w14:paraId="707C756E" w14:textId="77777777" w:rsidR="00054158" w:rsidRDefault="005B74B2">
            <w:pPr>
              <w:pStyle w:val="aa"/>
            </w:pPr>
            <w:r>
              <w:t>In our view, the following three PDCCH monitoring cases are sufficient for operation with 480/960 kHz SCS:</w:t>
            </w:r>
          </w:p>
          <w:p w14:paraId="71B1DDC4" w14:textId="77777777" w:rsidR="00054158" w:rsidRDefault="005B74B2">
            <w:pPr>
              <w:pStyle w:val="aa"/>
              <w:numPr>
                <w:ilvl w:val="0"/>
                <w:numId w:val="37"/>
              </w:numPr>
              <w:autoSpaceDE/>
              <w:autoSpaceDN/>
              <w:adjustRightInd/>
              <w:snapToGrid/>
              <w:contextualSpacing/>
              <w:jc w:val="both"/>
            </w:pPr>
            <w:r>
              <w:t>X=4 for 480 kHz SCS</w:t>
            </w:r>
          </w:p>
          <w:p w14:paraId="4F959C1E" w14:textId="77777777" w:rsidR="00054158" w:rsidRDefault="005B74B2">
            <w:pPr>
              <w:pStyle w:val="aa"/>
              <w:numPr>
                <w:ilvl w:val="0"/>
                <w:numId w:val="37"/>
              </w:numPr>
              <w:autoSpaceDE/>
              <w:autoSpaceDN/>
              <w:adjustRightInd/>
              <w:snapToGrid/>
              <w:contextualSpacing/>
              <w:jc w:val="both"/>
            </w:pPr>
            <w:r>
              <w:t>X=8 for 960 kHz SCS</w:t>
            </w:r>
          </w:p>
          <w:p w14:paraId="399304BD" w14:textId="77777777" w:rsidR="00054158" w:rsidRDefault="005B74B2">
            <w:pPr>
              <w:pStyle w:val="aa"/>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a"/>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a"/>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lastRenderedPageBreak/>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a"/>
            </w:pPr>
          </w:p>
          <w:p w14:paraId="7A7EFB30" w14:textId="77777777" w:rsidR="00054158" w:rsidRDefault="005B74B2">
            <w:pPr>
              <w:pStyle w:val="aa"/>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a"/>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a"/>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a"/>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c"/>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c"/>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c"/>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c"/>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afc"/>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c"/>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c"/>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afc"/>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c"/>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c"/>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afc"/>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afc"/>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afc"/>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5"/>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7"/>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a7"/>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6F1CD390" w14:textId="77777777" w:rsidR="00054158" w:rsidRDefault="005B74B2">
            <w:pPr>
              <w:pStyle w:val="afc"/>
              <w:numPr>
                <w:ilvl w:val="0"/>
                <w:numId w:val="16"/>
              </w:numPr>
            </w:pPr>
            <w:r>
              <w:t xml:space="preserve">Alt. 1: Use a fixed pattern of slot groups as the baseline to define the new capability. </w:t>
            </w:r>
          </w:p>
          <w:p w14:paraId="3FED311A" w14:textId="77777777" w:rsidR="00054158" w:rsidRDefault="005B74B2">
            <w:pPr>
              <w:pStyle w:val="afc"/>
              <w:numPr>
                <w:ilvl w:val="1"/>
                <w:numId w:val="16"/>
              </w:numPr>
            </w:pPr>
            <w:r>
              <w:t>Each slot group consists of X slots</w:t>
            </w:r>
          </w:p>
          <w:p w14:paraId="09817A9B" w14:textId="77777777" w:rsidR="00054158" w:rsidRDefault="005B74B2">
            <w:pPr>
              <w:pStyle w:val="afc"/>
              <w:numPr>
                <w:ilvl w:val="1"/>
                <w:numId w:val="16"/>
              </w:numPr>
            </w:pPr>
            <w:r>
              <w:t>Slot groups are consecutive and non-overlapping</w:t>
            </w:r>
          </w:p>
          <w:p w14:paraId="47493CB6" w14:textId="77777777" w:rsidR="00054158" w:rsidRDefault="005B74B2">
            <w:pPr>
              <w:pStyle w:val="afc"/>
              <w:numPr>
                <w:ilvl w:val="1"/>
                <w:numId w:val="16"/>
              </w:numPr>
            </w:pPr>
            <w:r>
              <w:t xml:space="preserve">The capability indicates the BD/CCE budget within Y consecutive slots in each slot group </w:t>
            </w:r>
          </w:p>
          <w:p w14:paraId="5FAAF8FE" w14:textId="77777777" w:rsidR="00054158" w:rsidRDefault="005B74B2">
            <w:pPr>
              <w:pStyle w:val="afc"/>
              <w:numPr>
                <w:ilvl w:val="2"/>
                <w:numId w:val="16"/>
              </w:numPr>
            </w:pPr>
            <w:r>
              <w:t>The location of the Y slots within the X slots is maintained across different slot groups</w:t>
            </w:r>
          </w:p>
          <w:p w14:paraId="3D1F112C" w14:textId="77777777" w:rsidR="00054158" w:rsidRDefault="005B74B2">
            <w:pPr>
              <w:pStyle w:val="afc"/>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afc"/>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afc"/>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c"/>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afc"/>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c"/>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afc"/>
              <w:numPr>
                <w:ilvl w:val="1"/>
                <w:numId w:val="16"/>
              </w:numPr>
            </w:pPr>
            <w:r>
              <w:t>Further discuss down-selection of Y within 1&lt;=Y&lt;=X/2 (both in units of slot) when X&gt;1</w:t>
            </w:r>
          </w:p>
          <w:p w14:paraId="10C57B2A" w14:textId="77777777" w:rsidR="00054158" w:rsidRDefault="005B74B2">
            <w:pPr>
              <w:pStyle w:val="afc"/>
              <w:numPr>
                <w:ilvl w:val="1"/>
                <w:numId w:val="16"/>
              </w:numPr>
            </w:pPr>
            <w:r>
              <w:t>FFS: Further definition of capabilities</w:t>
            </w:r>
          </w:p>
          <w:p w14:paraId="0312AB6A" w14:textId="77777777" w:rsidR="00054158" w:rsidRDefault="005B74B2">
            <w:pPr>
              <w:pStyle w:val="afc"/>
              <w:numPr>
                <w:ilvl w:val="1"/>
                <w:numId w:val="16"/>
              </w:numPr>
            </w:pPr>
            <w:r>
              <w:t>FFS: The following issues for the search space configuration discussion</w:t>
            </w:r>
          </w:p>
          <w:p w14:paraId="7E46BAF9" w14:textId="77777777" w:rsidR="00054158" w:rsidRDefault="005B74B2">
            <w:pPr>
              <w:pStyle w:val="afc"/>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c"/>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a7"/>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lastRenderedPageBreak/>
        <w:t>R1-2109599 (Intel)</w:t>
      </w:r>
    </w:p>
    <w:tbl>
      <w:tblPr>
        <w:tblStyle w:val="af5"/>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c"/>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c"/>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afc"/>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c"/>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c"/>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afc"/>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c"/>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c"/>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c"/>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afc"/>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c"/>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c"/>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afc"/>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c"/>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c"/>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c"/>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c"/>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c"/>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c"/>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afc"/>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(InterDigital)</w:t>
      </w:r>
    </w:p>
    <w:tbl>
      <w:tblPr>
        <w:tblStyle w:val="af5"/>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afc"/>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c"/>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c"/>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afc"/>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c"/>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c"/>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바탕"/>
                <w:lang w:eastAsia="ko-KR"/>
              </w:rPr>
            </w:pPr>
            <w:r>
              <w:rPr>
                <w:rFonts w:eastAsia="바탕"/>
                <w:bCs/>
                <w:lang w:eastAsia="ko-KR"/>
              </w:rPr>
              <w:t xml:space="preserve">For both </w:t>
            </w:r>
            <w:r>
              <w:rPr>
                <w:rFonts w:eastAsia="바탕" w:hint="eastAsia"/>
                <w:bCs/>
                <w:lang w:eastAsia="ko-KR"/>
              </w:rPr>
              <w:t>Alt-1</w:t>
            </w:r>
            <w:r>
              <w:rPr>
                <w:rFonts w:eastAsia="바탕"/>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바탕" w:hint="eastAsia"/>
                <w:bCs/>
                <w:lang w:eastAsia="ko-KR"/>
              </w:rPr>
              <w:t>the duration of Y</w:t>
            </w:r>
            <w:r>
              <w:rPr>
                <w:rFonts w:eastAsia="바탕"/>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바탕" w:hint="eastAsia"/>
                <w:bCs/>
                <w:lang w:eastAsia="ko-KR"/>
              </w:rPr>
              <w:t xml:space="preserve">be </w:t>
            </w:r>
            <w:r>
              <w:rPr>
                <w:rFonts w:eastAsia="바탕"/>
                <w:bCs/>
                <w:lang w:eastAsia="ko-KR"/>
              </w:rPr>
              <w:t xml:space="preserve">the problem if additional constraints for </w:t>
            </w:r>
            <w:r>
              <w:rPr>
                <w:rFonts w:eastAsia="바탕" w:hint="eastAsia"/>
                <w:bCs/>
                <w:lang w:eastAsia="ko-KR"/>
              </w:rPr>
              <w:t>Y</w:t>
            </w:r>
            <w:r>
              <w:rPr>
                <w:rFonts w:eastAsia="바탕"/>
                <w:bCs/>
                <w:lang w:eastAsia="ko-KR"/>
              </w:rPr>
              <w:t xml:space="preserve"> on </w:t>
            </w:r>
            <w:r>
              <w:rPr>
                <w:rFonts w:eastAsia="바탕"/>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바탕"/>
                <w:bCs/>
                <w:lang w:eastAsia="ko-KR"/>
              </w:rPr>
            </w:pPr>
            <w:r>
              <w:rPr>
                <w:rFonts w:eastAsia="바탕"/>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바탕"/>
                <w:b/>
                <w:lang w:eastAsia="ko-KR"/>
              </w:rPr>
            </w:pPr>
            <w:r>
              <w:rPr>
                <w:rFonts w:eastAsia="바탕"/>
                <w:b/>
                <w:lang w:eastAsia="ko-KR"/>
              </w:rPr>
              <w:t>Proposal #2: Adopt Alt-1, with the followings</w:t>
            </w:r>
          </w:p>
          <w:p w14:paraId="1517D2E0"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바탕"/>
                <w:lang w:eastAsia="ko-KR"/>
              </w:rPr>
            </w:pPr>
            <w:r>
              <w:rPr>
                <w:rFonts w:eastAsia="바탕"/>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바탕"/>
                <w:b/>
                <w:lang w:eastAsia="ko-KR"/>
              </w:rPr>
            </w:pPr>
            <w:r>
              <w:rPr>
                <w:rFonts w:eastAsia="바탕"/>
                <w:b/>
                <w:lang w:eastAsia="ko-KR"/>
              </w:rPr>
              <w:t>Proposal #3: Consider to configure X and Y (i.e. duration) based on UE capability if multiple values are supported</w:t>
            </w:r>
          </w:p>
          <w:p w14:paraId="397F9EFD"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바탕"/>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afc"/>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c"/>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c"/>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c"/>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c"/>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afc"/>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c"/>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afc"/>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c"/>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afc"/>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c"/>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9" type="#_x0000_t75" alt="" style="width:400.5pt;height:120.75pt;mso-width-percent:0;mso-height-percent:0;mso-width-percent:0;mso-height-percent:0" o:ole="">
                  <v:imagedata r:id="rId24" o:title=""/>
                </v:shape>
                <o:OLEObject Type="Embed" ProgID="Visio.Drawing.15" ShapeID="_x0000_i1029" DrawAspect="Content" ObjectID="_1695745586"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lastRenderedPageBreak/>
        <w:t>R1-2110173 (Qualcomm)</w:t>
      </w:r>
    </w:p>
    <w:tbl>
      <w:tblPr>
        <w:tblStyle w:val="af5"/>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7"/>
              <w:spacing w:after="0"/>
              <w:jc w:val="left"/>
            </w:pPr>
            <w:bookmarkStart w:id="31" w:name="_Toc83632381"/>
            <w:bookmarkStart w:id="32" w:name="_Toc83573325"/>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a7"/>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7"/>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7"/>
              <w:jc w:val="left"/>
            </w:pPr>
            <w:bookmarkStart w:id="35" w:name="_Ref83586061"/>
            <w:bookmarkStart w:id="36" w:name="_Toc83573327"/>
            <w:bookmarkStart w:id="37" w:name="_Toc83587357"/>
            <w:bookmarkStart w:id="38" w:name="_Toc83632383"/>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a7"/>
              <w:jc w:val="left"/>
            </w:pPr>
            <w:bookmarkStart w:id="40" w:name="_Toc83573328"/>
            <w:bookmarkStart w:id="41" w:name="_Toc83632384"/>
            <w:bookmarkStart w:id="42" w:name="_Toc8358735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7"/>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31116E">
            <w:r>
              <w:rPr>
                <w:noProof/>
              </w:rPr>
              <w:object w:dxaOrig="9966" w:dyaOrig="1743" w14:anchorId="0FC2186B">
                <v:shape id="_x0000_i1030" type="#_x0000_t75" alt="" style="width:498pt;height:86.25pt;mso-width-percent:0;mso-height-percent:0;mso-width-percent:0;mso-height-percent:0" o:ole="">
                  <v:imagedata r:id="rId26" o:title=""/>
                </v:shape>
                <o:OLEObject Type="Embed" ProgID="Visio.Drawing.15" ShapeID="_x0000_i1030" DrawAspect="Content" ObjectID="_1695745587" r:id="rId27"/>
              </w:object>
            </w:r>
          </w:p>
          <w:p w14:paraId="0F040E78" w14:textId="77777777" w:rsidR="00054158" w:rsidRDefault="005B74B2">
            <w:pPr>
              <w:pStyle w:val="a7"/>
              <w:rPr>
                <w:u w:val="single"/>
              </w:rPr>
            </w:pPr>
            <w:bookmarkStart w:id="47" w:name="_Ref83584248"/>
            <w:r>
              <w:t xml:space="preserve">Figure </w:t>
            </w:r>
            <w:fldSimple w:instr=" SEQ Figure \* ARABIC ">
              <w:r>
                <w:t>1</w:t>
              </w:r>
            </w:fldSimple>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c"/>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afc"/>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7"/>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a7"/>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afc"/>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c"/>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c"/>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lastRenderedPageBreak/>
        <w:t>R1-2110248 (Charter Communications)</w:t>
      </w:r>
    </w:p>
    <w:tbl>
      <w:tblPr>
        <w:tblStyle w:val="af5"/>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바탕"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5"/>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a"/>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a"/>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a"/>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aa"/>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a"/>
            </w:pPr>
            <w:r>
              <w:t xml:space="preserve">On the other hand, considering the fact that Alt 1 was preferred by majority companies [1], we are open to further discuss Alt 1. </w:t>
            </w:r>
          </w:p>
          <w:p w14:paraId="61411620" w14:textId="77777777" w:rsidR="00054158" w:rsidRDefault="005B74B2">
            <w:pPr>
              <w:pStyle w:val="aa"/>
            </w:pPr>
            <w:r>
              <w:t xml:space="preserve">As shown in the section 1, some decisions have been made on refining Alt 1 in the previous meeting, e.g. Y will be defined in unit of slot with the range of </w:t>
            </w:r>
            <w:r>
              <w:rPr>
                <w:rFonts w:ascii="Times" w:eastAsia="바탕"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a"/>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aa"/>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a"/>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a"/>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a"/>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a"/>
            </w:pPr>
          </w:p>
          <w:p w14:paraId="16E7DE71" w14:textId="77777777" w:rsidR="00054158" w:rsidRDefault="00054158">
            <w:pPr>
              <w:pStyle w:val="aa"/>
            </w:pPr>
          </w:p>
          <w:p w14:paraId="584D5B8F" w14:textId="77777777" w:rsidR="00054158" w:rsidRDefault="0031116E">
            <w:pPr>
              <w:pStyle w:val="aa"/>
            </w:pPr>
            <w:r>
              <w:rPr>
                <w:noProof/>
              </w:rPr>
              <w:object w:dxaOrig="9640" w:dyaOrig="2797" w14:anchorId="2AA3E36E">
                <v:shape id="_x0000_i1031" type="#_x0000_t75" alt="" style="width:483pt;height:139.5pt;mso-width-percent:0;mso-height-percent:0;mso-width-percent:0;mso-height-percent:0" o:ole="">
                  <v:imagedata r:id="rId28" o:title=""/>
                </v:shape>
                <o:OLEObject Type="Embed" ProgID="Visio.Drawing.15" ShapeID="_x0000_i1031" DrawAspect="Content" ObjectID="_1695745588" r:id="rId29"/>
              </w:object>
            </w:r>
          </w:p>
          <w:p w14:paraId="2ABE53DE" w14:textId="77777777" w:rsidR="00054158" w:rsidRDefault="00054158">
            <w:pPr>
              <w:pStyle w:val="aa"/>
            </w:pPr>
          </w:p>
          <w:p w14:paraId="62A43A19" w14:textId="77777777" w:rsidR="00054158" w:rsidRDefault="005B74B2">
            <w:pPr>
              <w:pStyle w:val="aa"/>
              <w:jc w:val="center"/>
            </w:pPr>
            <w:r>
              <w:t>Fig.1 Determination of the location of Y</w:t>
            </w:r>
          </w:p>
          <w:p w14:paraId="5155B1BD" w14:textId="77777777" w:rsidR="00054158" w:rsidRDefault="00054158">
            <w:pPr>
              <w:pStyle w:val="aa"/>
              <w:rPr>
                <w:b/>
                <w:bCs/>
              </w:rPr>
            </w:pPr>
          </w:p>
          <w:p w14:paraId="5F9085A3" w14:textId="77777777" w:rsidR="00054158" w:rsidRDefault="00054158">
            <w:pPr>
              <w:pStyle w:val="aa"/>
              <w:rPr>
                <w:b/>
                <w:bCs/>
              </w:rPr>
            </w:pPr>
          </w:p>
          <w:p w14:paraId="4663A039" w14:textId="77777777" w:rsidR="00054158" w:rsidRDefault="005B74B2">
            <w:pPr>
              <w:pStyle w:val="aa"/>
              <w:rPr>
                <w:b/>
                <w:bCs/>
              </w:rPr>
            </w:pPr>
            <w:r>
              <w:rPr>
                <w:b/>
                <w:bCs/>
              </w:rPr>
              <w:t xml:space="preserve">Proposal 2: For Alt 1, UE determines the location of Y based on the following rule: </w:t>
            </w:r>
          </w:p>
          <w:p w14:paraId="770674A9" w14:textId="77777777" w:rsidR="00054158" w:rsidRDefault="005B74B2">
            <w:pPr>
              <w:pStyle w:val="aa"/>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a"/>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a"/>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맑은 고딕"/>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t>Topic A2: Search Space Configuration/Enhancement</w:t>
      </w:r>
    </w:p>
    <w:p w14:paraId="3A319302" w14:textId="77777777" w:rsidR="00054158" w:rsidRDefault="005B74B2">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494430">
              <w:rPr>
                <w:rFonts w:ascii="Courier New" w:eastAsia="Times New Roman" w:hAnsi="Courier New"/>
                <w:sz w:val="16"/>
                <w:szCs w:val="20"/>
                <w:lang w:val="en-GB" w:eastAsia="en-GB"/>
              </w:rPr>
              <w:t xml:space="preserve">sl1                                     </w:t>
            </w:r>
            <w:r w:rsidRPr="00494430">
              <w:rPr>
                <w:rFonts w:ascii="Courier New" w:eastAsia="Times New Roman" w:hAnsi="Courier New"/>
                <w:color w:val="993366"/>
                <w:sz w:val="16"/>
                <w:szCs w:val="20"/>
                <w:lang w:val="en-GB" w:eastAsia="en-GB"/>
              </w:rPr>
              <w:t>NULL</w:t>
            </w:r>
            <w:r w:rsidRPr="00494430">
              <w:rPr>
                <w:rFonts w:ascii="Courier New" w:eastAsia="Times New Roman" w:hAnsi="Courier New"/>
                <w:sz w:val="16"/>
                <w:szCs w:val="20"/>
                <w:lang w:val="en-GB" w:eastAsia="en-GB"/>
              </w:rPr>
              <w:t>,</w:t>
            </w:r>
          </w:p>
          <w:p w14:paraId="3770D1E8"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sl2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(0..1),</w:t>
            </w:r>
          </w:p>
          <w:p w14:paraId="7E318E90"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sl4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(0..3),</w:t>
            </w:r>
          </w:p>
          <w:p w14:paraId="4E372FFC"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sl5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(0..4),</w:t>
            </w:r>
          </w:p>
          <w:p w14:paraId="3638B22F"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sl8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(0..7),</w:t>
            </w:r>
          </w:p>
          <w:p w14:paraId="38189489"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lastRenderedPageBreak/>
              <w:t xml:space="preserve">        sl10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(0..9),</w:t>
            </w:r>
          </w:p>
          <w:p w14:paraId="22070EFB"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sl16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(0..15),</w:t>
            </w:r>
          </w:p>
          <w:p w14:paraId="03D68A67"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sl20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(0..19),</w:t>
            </w:r>
          </w:p>
          <w:p w14:paraId="58885560"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sl40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(0..39),</w:t>
            </w:r>
          </w:p>
          <w:p w14:paraId="01403A6A"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sl80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494430">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494430">
              <w:rPr>
                <w:rFonts w:ascii="Courier New" w:eastAsia="Times New Roman" w:hAnsi="Courier New"/>
                <w:sz w:val="16"/>
                <w:szCs w:val="20"/>
                <w:lang w:eastAsia="en-GB"/>
              </w:rPr>
              <w:t xml:space="preserve">sl1280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(0..1279),</w:t>
            </w:r>
          </w:p>
          <w:p w14:paraId="3523E2E4"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494430">
              <w:rPr>
                <w:rFonts w:ascii="Courier New" w:eastAsia="Times New Roman" w:hAnsi="Courier New"/>
                <w:sz w:val="16"/>
                <w:szCs w:val="20"/>
                <w:lang w:eastAsia="en-GB"/>
              </w:rPr>
              <w:t xml:space="preserve">        sl2560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afc"/>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afc"/>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c"/>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afc"/>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7"/>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c"/>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afc"/>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c"/>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afc"/>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a"/>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a"/>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a"/>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a"/>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a"/>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c"/>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afc"/>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afc"/>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c"/>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c"/>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a"/>
              <w:keepNext/>
              <w:jc w:val="center"/>
            </w:pPr>
            <w:r>
              <w:t xml:space="preserve"> </w:t>
            </w:r>
            <w:r w:rsidR="0031116E">
              <w:rPr>
                <w:noProof/>
              </w:rPr>
              <w:object w:dxaOrig="6730" w:dyaOrig="3123" w14:anchorId="0C543BF7">
                <v:shape id="_x0000_i1032" type="#_x0000_t75" alt="" style="width:336.75pt;height:156pt;mso-width-percent:0;mso-height-percent:0;mso-width-percent:0;mso-height-percent:0" o:ole="">
                  <v:imagedata r:id="rId34" o:title=""/>
                </v:shape>
                <o:OLEObject Type="Embed" ProgID="Visio.Drawing.11" ShapeID="_x0000_i1032" DrawAspect="Content" ObjectID="_1695745589" r:id="rId35"/>
              </w:object>
            </w:r>
          </w:p>
          <w:p w14:paraId="413666C4" w14:textId="77777777" w:rsidR="00054158" w:rsidRDefault="005B74B2">
            <w:pPr>
              <w:pStyle w:val="a7"/>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aa"/>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a"/>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a"/>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aa"/>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a"/>
              <w:rPr>
                <w:b/>
                <w:lang w:eastAsia="zh-CN"/>
              </w:rPr>
            </w:pPr>
          </w:p>
          <w:p w14:paraId="7F1EB74D" w14:textId="77777777" w:rsidR="00054158" w:rsidRDefault="005B74B2">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a"/>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a"/>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a"/>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5"/>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3" type="#_x0000_t75" alt="" style="width:498pt;height:109.5pt;mso-width-percent:0;mso-height-percent:0;mso-width-percent:0;mso-height-percent:0" o:ole="">
                  <v:imagedata r:id="rId36" o:title=""/>
                </v:shape>
                <o:OLEObject Type="Embed" ProgID="Visio.Drawing.15" ShapeID="_x0000_i1033" DrawAspect="Content" ObjectID="_1695745590"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4" type="#_x0000_t75" alt="" style="width:498pt;height:131.25pt;mso-width-percent:0;mso-height-percent:0;mso-width-percent:0;mso-height-percent:0" o:ole="">
                  <v:imagedata r:id="rId38" o:title=""/>
                </v:shape>
                <o:OLEObject Type="Embed" ProgID="Visio.Drawing.15" ShapeID="_x0000_i1034" DrawAspect="Content" ObjectID="_1695745591"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w:t>
            </w:r>
            <w:r>
              <w:lastRenderedPageBreak/>
              <w:t>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745592" r:id="rId41"/>
              </w:object>
            </w:r>
          </w:p>
          <w:p w14:paraId="639EBBBC" w14:textId="77777777" w:rsidR="00054158" w:rsidRDefault="005B74B2">
            <w:pPr>
              <w:jc w:val="center"/>
              <w:rPr>
                <w:b/>
              </w:rPr>
            </w:pPr>
            <w:r>
              <w:rPr>
                <w:b/>
              </w:rPr>
              <w:lastRenderedPageBreak/>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lastRenderedPageBreak/>
        <w:t>R1-2109599 (Intel)</w:t>
      </w:r>
    </w:p>
    <w:tbl>
      <w:tblPr>
        <w:tblStyle w:val="af5"/>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afc"/>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lastRenderedPageBreak/>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6" type="#_x0000_t75" alt="" style="width:382.5pt;height:102pt;mso-width-percent:0;mso-height-percent:0;mso-width-percent:0;mso-height-percent:0" o:ole="">
                  <v:imagedata r:id="rId42" o:title=""/>
                </v:shape>
                <o:OLEObject Type="Embed" ProgID="Visio.Drawing.15" ShapeID="_x0000_i1036" DrawAspect="Content" ObjectID="_1695745593"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w:t>
            </w:r>
            <w:r>
              <w:rPr>
                <w:lang w:eastAsia="zh-CN"/>
              </w:rPr>
              <w:lastRenderedPageBreak/>
              <w:t xml:space="preserve">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afc"/>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lastRenderedPageBreak/>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afc"/>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c"/>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afc"/>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lastRenderedPageBreak/>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afc"/>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c"/>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c"/>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afc"/>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바탕"/>
                <w:bCs/>
                <w:lang w:eastAsia="ko-KR"/>
              </w:rPr>
            </w:pPr>
            <w:r>
              <w:rPr>
                <w:rFonts w:eastAsia="바탕"/>
                <w:lang w:eastAsia="ko-KR"/>
              </w:rPr>
              <w:t xml:space="preserve">In RAN1#106-e meeting, above agreement was drawn. </w:t>
            </w:r>
            <w:r>
              <w:rPr>
                <w:rFonts w:eastAsia="바탕"/>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바탕"/>
                <w:b/>
                <w:lang w:eastAsia="ko-KR"/>
              </w:rPr>
            </w:pPr>
            <w:r>
              <w:rPr>
                <w:rFonts w:eastAsia="바탕" w:hint="eastAsia"/>
                <w:b/>
                <w:lang w:eastAsia="ko-KR"/>
              </w:rPr>
              <w:t>P</w:t>
            </w:r>
            <w:r>
              <w:rPr>
                <w:rFonts w:eastAsia="바탕"/>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value larger than X (or a multiple of X) slots and </w:t>
            </w:r>
            <w:r>
              <w:rPr>
                <w:rFonts w:eastAsia="바탕"/>
                <w:i/>
                <w:lang w:eastAsia="ko-KR"/>
              </w:rPr>
              <w:t>duration</w:t>
            </w:r>
            <w:r>
              <w:rPr>
                <w:rFonts w:eastAsia="바탕"/>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바탕"/>
                <w:bCs/>
                <w:lang w:eastAsia="ko-KR"/>
              </w:rPr>
            </w:pPr>
            <w:r>
              <w:rPr>
                <w:rFonts w:eastAsia="바탕"/>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바탕"/>
                <w:bCs/>
                <w:lang w:eastAsia="ko-KR"/>
              </w:rPr>
            </w:pPr>
          </w:p>
          <w:p w14:paraId="4B126596" w14:textId="77777777" w:rsidR="00054158" w:rsidRDefault="005B74B2">
            <w:pPr>
              <w:spacing w:before="120" w:line="240" w:lineRule="auto"/>
              <w:ind w:firstLineChars="100" w:firstLine="220"/>
              <w:rPr>
                <w:rFonts w:eastAsia="바탕"/>
                <w:bCs/>
                <w:lang w:eastAsia="ko-KR"/>
              </w:rPr>
            </w:pPr>
            <w:r>
              <w:rPr>
                <w:rFonts w:eastAsia="바탕"/>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바탕"/>
                <w:b/>
                <w:lang w:eastAsia="ko-KR"/>
              </w:rPr>
            </w:pPr>
            <w:r>
              <w:rPr>
                <w:rFonts w:eastAsia="바탕"/>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바탕"/>
                <w:bCs/>
                <w:lang w:eastAsia="ko-KR"/>
              </w:rPr>
            </w:pPr>
            <w:r>
              <w:rPr>
                <w:rFonts w:eastAsia="바탕"/>
                <w:lang w:eastAsia="ko-KR"/>
              </w:rPr>
              <w:t xml:space="preserve">For SSB/CORESET#0 multiplexing with pattern 1, PDCCH monitoring of Type0-PDCCH CSS set for each SSB index is achieved in two consecutive slots,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and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+1</m:t>
              </m:r>
            </m:oMath>
            <w:r>
              <w:rPr>
                <w:rFonts w:eastAsia="바탕"/>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for </w:t>
            </w:r>
            <w:r>
              <w:t>Type0-PDCCH CSS set monitoring,</w:t>
            </w:r>
            <w:r>
              <w:rPr>
                <w:rFonts w:eastAsia="바탕"/>
                <w:lang w:eastAsia="ko-KR"/>
              </w:rPr>
              <w:t xml:space="preserve"> the next MO can be located in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+M</m:t>
              </m:r>
            </m:oMath>
            <w:r>
              <w:rPr>
                <w:rFonts w:eastAsia="바탕" w:hint="eastAsia"/>
                <w:lang w:eastAsia="ko-KR"/>
              </w:rPr>
              <w:t xml:space="preserve"> where M </w:t>
            </w:r>
            <w:r>
              <w:rPr>
                <w:rFonts w:eastAsia="바탕"/>
                <w:lang w:eastAsia="ko-KR"/>
              </w:rPr>
              <w:t xml:space="preserve">corresponds </w:t>
            </w:r>
            <w:r>
              <w:rPr>
                <w:rFonts w:eastAsia="바탕"/>
                <w:lang w:eastAsia="ko-KR"/>
              </w:rPr>
              <w:lastRenderedPageBreak/>
              <w:t xml:space="preserve">to the size of slot-group. The slot-group for this case can be determined differently than the slot-group for other types of SS set (e.g., USS). In addition, the size of slot-group can be configured by MIB/SIB1 or be predefined for each SCS, e.g., </w:t>
            </w:r>
            <w:r>
              <w:rPr>
                <w:rFonts w:eastAsia="바탕"/>
                <w:i/>
                <w:lang w:eastAsia="ko-KR"/>
              </w:rPr>
              <w:t>M</w:t>
            </w:r>
            <w:r>
              <w:rPr>
                <w:rFonts w:eastAsia="바탕"/>
                <w:lang w:eastAsia="ko-KR"/>
              </w:rPr>
              <w:t xml:space="preserve">=4 for 480 kHz, </w:t>
            </w:r>
            <w:r>
              <w:rPr>
                <w:rFonts w:eastAsia="바탕"/>
                <w:i/>
                <w:lang w:eastAsia="ko-KR"/>
              </w:rPr>
              <w:t>M</w:t>
            </w:r>
            <w:r>
              <w:rPr>
                <w:rFonts w:eastAsia="바탕"/>
                <w:lang w:eastAsia="ko-KR"/>
              </w:rPr>
              <w:t>=8 for 960 kHz.</w:t>
            </w:r>
          </w:p>
          <w:p w14:paraId="3E67A78B" w14:textId="77777777" w:rsidR="00054158" w:rsidRDefault="005B74B2">
            <w:pPr>
              <w:spacing w:before="120" w:line="240" w:lineRule="auto"/>
              <w:ind w:firstLineChars="100" w:firstLine="216"/>
              <w:rPr>
                <w:rFonts w:eastAsia="바탕"/>
                <w:b/>
                <w:lang w:eastAsia="ko-KR"/>
              </w:rPr>
            </w:pPr>
            <w:r>
              <w:rPr>
                <w:rFonts w:eastAsia="바탕"/>
                <w:b/>
                <w:lang w:eastAsia="ko-KR"/>
              </w:rPr>
              <w:t xml:space="preserve">Proposal #7: Multi-slot monitoring of Type0-PDCCH CSS for SSB/CORESET#0 multiplexing pattern 1 should be considered </w:t>
            </w:r>
            <w:r>
              <w:rPr>
                <w:rFonts w:eastAsia="바탕" w:hint="eastAsia"/>
                <w:b/>
                <w:lang w:eastAsia="ko-KR"/>
              </w:rPr>
              <w:t>for</w:t>
            </w:r>
            <w:r>
              <w:rPr>
                <w:rFonts w:eastAsia="바탕"/>
                <w:b/>
                <w:lang w:eastAsia="ko-KR"/>
              </w:rPr>
              <w:t xml:space="preserve"> 480 kHz or 960 kHz SCS.</w:t>
            </w:r>
          </w:p>
          <w:p w14:paraId="29935D02" w14:textId="77777777" w:rsidR="00054158" w:rsidRDefault="00054158">
            <w:pPr>
              <w:spacing w:before="120" w:line="240" w:lineRule="auto"/>
              <w:rPr>
                <w:rFonts w:eastAsia="바탕"/>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lastRenderedPageBreak/>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7"/>
            </w:pPr>
            <w:bookmarkStart w:id="83" w:name="_Ref68624864"/>
            <w:r>
              <w:t xml:space="preserve">Figure </w:t>
            </w:r>
            <w:fldSimple w:instr=" SEQ Figure \* ARABIC ">
              <w:r>
                <w:t>1</w:t>
              </w:r>
            </w:fldSimple>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7" type="#_x0000_t75" alt="" style="width:444pt;height:373.5pt;mso-width-percent:0;mso-height-percent:0;mso-width-percent:0;mso-height-percent:0" o:ole="">
                  <v:imagedata r:id="rId46" o:title=""/>
                </v:shape>
                <o:OLEObject Type="Embed" ProgID="Visio.Drawing.15" ShapeID="_x0000_i1037" DrawAspect="Content" ObjectID="_1695745594"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c"/>
              <w:numPr>
                <w:ilvl w:val="0"/>
                <w:numId w:val="69"/>
              </w:numPr>
              <w:snapToGrid/>
              <w:spacing w:line="240" w:lineRule="auto"/>
              <w:jc w:val="both"/>
            </w:pPr>
            <w:r>
              <w:t>to keep the RF frontend blocks active for a longer time,</w:t>
            </w:r>
          </w:p>
          <w:p w14:paraId="71A02DA6" w14:textId="77777777" w:rsidR="00054158" w:rsidRDefault="005B74B2">
            <w:pPr>
              <w:pStyle w:val="afc"/>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c"/>
              <w:numPr>
                <w:ilvl w:val="0"/>
                <w:numId w:val="69"/>
              </w:numPr>
              <w:snapToGrid/>
              <w:spacing w:line="240" w:lineRule="auto"/>
              <w:jc w:val="both"/>
            </w:pPr>
            <w:r>
              <w:t>to perform more FFT operation across MOs.</w:t>
            </w:r>
          </w:p>
          <w:p w14:paraId="21BA666D" w14:textId="77777777" w:rsidR="00054158" w:rsidRDefault="005B74B2">
            <w:pPr>
              <w:pStyle w:val="a7"/>
            </w:pPr>
            <w:bookmarkStart w:id="85" w:name="_Toc83587364"/>
            <w:bookmarkStart w:id="86" w:name="_Toc8357333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7"/>
              <w:spacing w:after="0"/>
              <w:jc w:val="left"/>
            </w:pPr>
            <w:bookmarkStart w:id="89" w:name="_Ref83573348"/>
            <w:bookmarkStart w:id="90" w:name="_Toc83573329"/>
            <w:bookmarkStart w:id="91" w:name="_Toc83632385"/>
            <w:bookmarkStart w:id="92" w:name="_Toc83587359"/>
            <w:bookmarkStart w:id="93" w:name="P_5"/>
            <w:r>
              <w:t xml:space="preserve">Proposal </w:t>
            </w:r>
            <w:fldSimple w:instr=" SEQ Proposal \* ARABIC ">
              <w:r>
                <w:t>5</w:t>
              </w:r>
            </w:fldSimple>
            <w:bookmarkEnd w:id="89"/>
            <w:r>
              <w:t>: The value of Y is no larger than 1 slot:</w:t>
            </w:r>
            <w:bookmarkEnd w:id="90"/>
            <w:bookmarkEnd w:id="91"/>
            <w:bookmarkEnd w:id="92"/>
          </w:p>
          <w:p w14:paraId="22E184A2" w14:textId="77777777" w:rsidR="00054158" w:rsidRDefault="005B74B2">
            <w:pPr>
              <w:pStyle w:val="afc"/>
              <w:numPr>
                <w:ilvl w:val="0"/>
                <w:numId w:val="70"/>
              </w:numPr>
              <w:snapToGrid/>
              <w:spacing w:line="240" w:lineRule="auto"/>
              <w:rPr>
                <w:b/>
                <w:bCs/>
              </w:rPr>
            </w:pPr>
            <w:r>
              <w:rPr>
                <w:b/>
                <w:bCs/>
              </w:rPr>
              <w:t>Alt 1: Y = 1 slot,</w:t>
            </w:r>
          </w:p>
          <w:p w14:paraId="40AA0089" w14:textId="77777777" w:rsidR="00054158" w:rsidRDefault="005B74B2">
            <w:pPr>
              <w:pStyle w:val="afc"/>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a7"/>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7"/>
              <w:jc w:val="left"/>
            </w:pPr>
            <w:bookmarkStart w:id="94" w:name="_Toc83587360"/>
            <w:bookmarkStart w:id="95" w:name="_Toc83632386"/>
            <w:bookmarkStart w:id="96" w:name="_Toc8357333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a7"/>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8" type="#_x0000_t75" alt="" style="width:498pt;height:3in;mso-width-percent:0;mso-height-percent:0;mso-width-percent:0;mso-height-percent:0" o:ole="">
                  <v:imagedata r:id="rId48" o:title=""/>
                </v:shape>
                <o:OLEObject Type="Embed" ProgID="Visio.Drawing.15" ShapeID="_x0000_i1038" DrawAspect="Content" ObjectID="_1695745595" r:id="rId49"/>
              </w:object>
            </w:r>
          </w:p>
          <w:p w14:paraId="465108AF" w14:textId="77777777" w:rsidR="00054158" w:rsidRDefault="005B74B2">
            <w:pPr>
              <w:pStyle w:val="a7"/>
            </w:pPr>
            <w:bookmarkStart w:id="102" w:name="_Ref83735207"/>
            <w:r>
              <w:t xml:space="preserve">Figure </w:t>
            </w:r>
            <w:fldSimple w:instr=" SEQ Figure \* ARABIC ">
              <w:r>
                <w:t>3</w:t>
              </w:r>
            </w:fldSimple>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afc"/>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c"/>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afc"/>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c"/>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7"/>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a7"/>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9" type="#_x0000_t75" alt="" style="width:486.75pt;height:67.5pt;mso-width-percent:0;mso-height-percent:0;mso-width-percent:0;mso-height-percent:0" o:ole="">
                  <v:imagedata r:id="rId50" o:title=""/>
                </v:shape>
                <o:OLEObject Type="Embed" ProgID="Visio.Drawing.15" ShapeID="_x0000_i1039" DrawAspect="Content" ObjectID="_1695745596" r:id="rId51"/>
              </w:object>
            </w:r>
          </w:p>
          <w:p w14:paraId="6A50BF52" w14:textId="77777777" w:rsidR="00054158" w:rsidRDefault="005B74B2">
            <w:pPr>
              <w:pStyle w:val="a7"/>
            </w:pPr>
            <w:bookmarkStart w:id="126" w:name="_Ref68252811"/>
            <w:r>
              <w:t xml:space="preserve">Figure </w:t>
            </w:r>
            <w:fldSimple w:instr=" SEQ Figure \* ARABIC ">
              <w:r>
                <w:t>4</w:t>
              </w:r>
            </w:fldSimple>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c"/>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c"/>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40" type="#_x0000_t75" alt="" style="width:42pt;height:18pt;mso-width-percent:0;mso-height-percent:0;mso-width-percent:0;mso-height-percent:0" o:ole="">
                  <v:imagedata r:id="rId52" o:title=""/>
                </v:shape>
                <o:OLEObject Type="Embed" ProgID="Equation.3" ShapeID="_x0000_i1040" DrawAspect="Content" ObjectID="_1695745597" r:id="rId53"/>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1" type="#_x0000_t75" alt="" style="width:42pt;height:18pt;mso-width-percent:0;mso-height-percent:0;mso-width-percent:0;mso-height-percent:0" o:ole="">
                  <v:imagedata r:id="rId52" o:title=""/>
                </v:shape>
                <o:OLEObject Type="Embed" ProgID="Equation.3" ShapeID="_x0000_i1041" DrawAspect="Content" ObjectID="_1695745598" r:id="rId54"/>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a"/>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5"/>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a"/>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a"/>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a"/>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c"/>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c"/>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c"/>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a"/>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a"/>
              <w:numPr>
                <w:ilvl w:val="0"/>
                <w:numId w:val="74"/>
              </w:numPr>
              <w:autoSpaceDE/>
              <w:autoSpaceDN/>
              <w:adjustRightInd/>
              <w:snapToGrid/>
              <w:jc w:val="both"/>
            </w:pPr>
            <w:r>
              <w:t>480 kHz SCS with window size of X=4</w:t>
            </w:r>
          </w:p>
          <w:p w14:paraId="29FDB808" w14:textId="77777777" w:rsidR="00054158" w:rsidRDefault="00922AD3">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922AD3">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a"/>
              <w:numPr>
                <w:ilvl w:val="0"/>
                <w:numId w:val="74"/>
              </w:numPr>
              <w:autoSpaceDE/>
              <w:autoSpaceDN/>
              <w:adjustRightInd/>
              <w:snapToGrid/>
              <w:jc w:val="both"/>
            </w:pPr>
            <w:r>
              <w:t>960 kHz SCS with window size of X=8</w:t>
            </w:r>
          </w:p>
          <w:p w14:paraId="66A64949" w14:textId="77777777" w:rsidR="00054158" w:rsidRDefault="00922AD3">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922AD3">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a"/>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a"/>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2" type="#_x0000_t75" alt="" style="width:480pt;height:102pt;mso-width-percent:0;mso-height-percent:0;mso-width-percent:0;mso-height-percent:0" o:ole="">
                  <v:imagedata r:id="rId59" o:title=""/>
                </v:shape>
                <o:OLEObject Type="Embed" ProgID="Visio.Drawing.15" ShapeID="_x0000_i1042" DrawAspect="Content" ObjectID="_1695745599"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c"/>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c"/>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바탕"/>
                <w:lang w:eastAsia="ko-KR"/>
              </w:rPr>
            </w:pPr>
            <w:r>
              <w:rPr>
                <w:rFonts w:eastAsia="바탕"/>
                <w:lang w:eastAsia="ko-KR"/>
              </w:rPr>
              <w:t xml:space="preserve">Regarding the PDCCH monitoring per slot-group, USS overbooking and dropping procedure may also be enhanced. Basically, if </w:t>
            </w:r>
            <w:r>
              <w:rPr>
                <w:rFonts w:eastAsia="바탕" w:hint="eastAsia"/>
                <w:lang w:eastAsia="ko-KR"/>
              </w:rPr>
              <w:t xml:space="preserve">the </w:t>
            </w:r>
            <w:r>
              <w:rPr>
                <w:rFonts w:eastAsia="바탕"/>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바탕"/>
                <w:b/>
                <w:lang w:eastAsia="ko-KR"/>
              </w:rPr>
            </w:pPr>
            <w:r>
              <w:rPr>
                <w:rFonts w:eastAsia="바탕" w:hint="eastAsia"/>
                <w:b/>
                <w:lang w:eastAsia="ko-KR"/>
              </w:rPr>
              <w:lastRenderedPageBreak/>
              <w:t>P</w:t>
            </w:r>
            <w:r>
              <w:rPr>
                <w:rFonts w:eastAsia="바탕"/>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7"/>
              <w:keepNext/>
            </w:pPr>
            <w:bookmarkStart w:id="136" w:name="_Ref79128577"/>
            <w:r>
              <w:t xml:space="preserve">Table </w:t>
            </w:r>
            <w:fldSimple w:instr=" SEQ Table \* ARABIC ">
              <w:r>
                <w:t>1</w:t>
              </w:r>
            </w:fldSimple>
            <w:bookmarkEnd w:id="136"/>
            <w:r>
              <w:t>: BD/CCE Budget for Alt. 1</w:t>
            </w:r>
          </w:p>
          <w:tbl>
            <w:tblPr>
              <w:tblStyle w:val="af5"/>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7"/>
              <w:keepNext/>
            </w:pPr>
            <w:bookmarkStart w:id="137" w:name="_Ref79128597"/>
            <w:r>
              <w:t xml:space="preserve">Table </w:t>
            </w:r>
            <w:fldSimple w:instr=" SEQ Table \* ARABIC ">
              <w:r>
                <w:t>2</w:t>
              </w:r>
            </w:fldSimple>
            <w:bookmarkEnd w:id="137"/>
            <w:r>
              <w:t>: BD/CCE Budget for Alt. 2</w:t>
            </w:r>
          </w:p>
          <w:tbl>
            <w:tblPr>
              <w:tblStyle w:val="af5"/>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7"/>
              <w:jc w:val="left"/>
            </w:pPr>
            <w:bookmarkStart w:id="138" w:name="_Toc83573326"/>
            <w:bookmarkStart w:id="139" w:name="_Toc8358735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5"/>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a"/>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Topic A4: PDCCH Extensions for e.g. Coverage, Reliability</w:t>
      </w:r>
    </w:p>
    <w:p w14:paraId="11D1417E"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a"/>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aa"/>
              <w:jc w:val="center"/>
              <w:rPr>
                <w:rFonts w:eastAsia="SimSun"/>
                <w:b/>
                <w:sz w:val="18"/>
                <w:szCs w:val="18"/>
                <w:lang w:eastAsia="zh-CN"/>
              </w:rPr>
            </w:pPr>
            <w:r>
              <w:rPr>
                <w:noProof/>
              </w:rPr>
              <w:object w:dxaOrig="4077" w:dyaOrig="7321" w14:anchorId="23F9B39A">
                <v:shape id="_x0000_i1043" type="#_x0000_t75" alt="" style="width:204pt;height:367.5pt;mso-width-percent:0;mso-height-percent:0;mso-width-percent:0;mso-height-percent:0" o:ole="">
                  <v:imagedata r:id="rId61" o:title=""/>
                </v:shape>
                <o:OLEObject Type="Embed" ProgID="Visio.Drawing.15" ShapeID="_x0000_i1043" DrawAspect="Content" ObjectID="_1695745600" r:id="rId62"/>
              </w:object>
            </w:r>
          </w:p>
          <w:p w14:paraId="6E80C11E" w14:textId="77777777" w:rsidR="00054158" w:rsidRDefault="005B74B2">
            <w:pPr>
              <w:pStyle w:val="aa"/>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aa"/>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a"/>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aa"/>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aa"/>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5"/>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바탕"/>
                <w:lang w:eastAsia="ko-KR"/>
              </w:rPr>
            </w:pPr>
            <w:r>
              <w:rPr>
                <w:rFonts w:eastAsia="바탕"/>
                <w:lang w:eastAsia="ko-KR"/>
              </w:rPr>
              <w:t xml:space="preserve">As haven been mentioned by multiple companies in previous meetings [3]-[7]: In Rel-16 </w:t>
            </w:r>
            <w:r>
              <w:rPr>
                <w:rFonts w:eastAsia="바탕" w:hint="eastAsia"/>
                <w:lang w:eastAsia="ko-KR"/>
              </w:rPr>
              <w:t>NR-</w:t>
            </w:r>
            <w:r>
              <w:rPr>
                <w:rFonts w:eastAsia="바탕"/>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바탕"/>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바탕"/>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바탕"/>
                <w:b/>
                <w:lang w:eastAsia="ko-KR"/>
              </w:rPr>
            </w:pPr>
            <w:r>
              <w:rPr>
                <w:rFonts w:eastAsia="바탕"/>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바탕"/>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바탕"/>
              </w:rPr>
            </w:pPr>
            <w:r>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바탕"/>
              </w:rPr>
            </w:pPr>
          </w:p>
          <w:p w14:paraId="2FF1DB1C" w14:textId="77777777" w:rsidR="00054158" w:rsidRDefault="005B74B2">
            <w:pPr>
              <w:rPr>
                <w:rFonts w:cs="바탕"/>
              </w:rPr>
            </w:pPr>
            <w:r>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바탕"/>
              </w:rPr>
            </w:pPr>
          </w:p>
          <w:p w14:paraId="103BB808" w14:textId="77777777" w:rsidR="00054158" w:rsidRDefault="005B74B2">
            <w:pPr>
              <w:rPr>
                <w:i/>
                <w:iCs/>
              </w:rPr>
            </w:pPr>
            <w:r>
              <w:rPr>
                <w:rFonts w:cs="바탕"/>
                <w:b/>
                <w:bCs/>
                <w:i/>
                <w:iCs/>
              </w:rPr>
              <w:t>Proposal 15:</w:t>
            </w:r>
            <w:r>
              <w:rPr>
                <w:rFonts w:cs="바탕"/>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바탕"/>
                      <w:color w:val="000000"/>
                      <w:lang w:eastAsia="fr-FR"/>
                    </w:rPr>
                  </w:pPr>
                  <w:r>
                    <w:rPr>
                      <w:rFonts w:eastAsia="바탕"/>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바탕"/>
                      <w:color w:val="000000"/>
                      <w:lang w:eastAsia="fr-FR"/>
                    </w:rPr>
                  </w:pPr>
                  <w:r>
                    <w:rPr>
                      <w:rFonts w:eastAsia="바탕"/>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바탕"/>
                      <w:color w:val="000000"/>
                      <w:lang w:eastAsia="fr-FR"/>
                    </w:rPr>
                  </w:pPr>
                  <w:r>
                    <w:rPr>
                      <w:rFonts w:eastAsia="바탕"/>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바탕"/>
                      <w:color w:val="000000"/>
                      <w:lang w:eastAsia="fr-FR"/>
                    </w:rPr>
                  </w:pPr>
                  <w:r>
                    <w:rPr>
                      <w:rFonts w:eastAsia="바탕"/>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바탕"/>
                      <w:color w:val="000000"/>
                      <w:lang w:eastAsia="fr-FR"/>
                    </w:rPr>
                  </w:pPr>
                  <w:r>
                    <w:rPr>
                      <w:rFonts w:eastAsia="바탕"/>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바탕"/>
                      <w:color w:val="000000"/>
                      <w:lang w:eastAsia="fr-FR"/>
                    </w:rPr>
                  </w:pPr>
                  <w:r>
                    <w:rPr>
                      <w:rFonts w:eastAsia="바탕"/>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바탕"/>
                      <w:color w:val="000000"/>
                      <w:lang w:eastAsia="fr-FR"/>
                    </w:rPr>
                  </w:pPr>
                  <w:r>
                    <w:rPr>
                      <w:rFonts w:eastAsia="바탕"/>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바탕"/>
                      <w:color w:val="000000"/>
                      <w:lang w:eastAsia="fr-FR"/>
                    </w:rPr>
                  </w:pPr>
                  <w:r>
                    <w:rPr>
                      <w:rFonts w:eastAsia="바탕"/>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5"/>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7"/>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a7"/>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7"/>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afc"/>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afc"/>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c"/>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afc"/>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a"/>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바탕"/>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4" type="#_x0000_t75" alt="" style="width:78pt;height:12.75pt;mso-width-percent:0;mso-height-percent:0;mso-width-percent:0;mso-height-percent:0" o:ole="">
                  <v:imagedata r:id="rId63" o:title=""/>
                </v:shape>
                <o:OLEObject Type="Embed" ProgID="Equation.DSMT4" ShapeID="_x0000_i1044" DrawAspect="Content" ObjectID="_1695745601" r:id="rId64"/>
              </w:object>
            </w:r>
            <w:r>
              <w:t>.</w:t>
            </w:r>
          </w:p>
          <w:p w14:paraId="14120CA6" w14:textId="77777777" w:rsidR="00054158" w:rsidRDefault="005B74B2">
            <w:pPr>
              <w:pStyle w:val="aa"/>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5" type="#_x0000_t75" alt="" style="width:78pt;height:12.75pt;mso-width-percent:0;mso-height-percent:0;mso-width-percent:0;mso-height-percent:0" o:ole="">
                  <v:imagedata r:id="rId63" o:title=""/>
                </v:shape>
                <o:OLEObject Type="Embed" ProgID="Equation.DSMT4" ShapeID="_x0000_i1045" DrawAspect="Content" ObjectID="_1695745602" r:id="rId65"/>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바탕"/>
                <w:lang w:eastAsia="ko-KR"/>
              </w:rPr>
            </w:pPr>
            <w:r>
              <w:rPr>
                <w:rFonts w:eastAsia="바탕"/>
                <w:lang w:eastAsia="ko-KR"/>
              </w:rPr>
              <w:t xml:space="preserve">For carrier aggregation in rel-15/16, if a UE is configured with DL cells greater than the number of BD capable cells (reported by </w:t>
            </w:r>
            <w:r>
              <w:rPr>
                <w:i/>
              </w:rPr>
              <w:t>pdcch-BlindDetectionCA</w:t>
            </w:r>
            <w:r>
              <w:rPr>
                <w:rFonts w:eastAsia="바탕"/>
                <w:lang w:eastAsia="ko-KR"/>
              </w:rPr>
              <w:t>), the total number of PDCCH candidates or non-overlapped CCEs per slot or per span should be recalculated according to the following specifications in 38.213 clause 10.1.</w:t>
            </w:r>
          </w:p>
          <w:tbl>
            <w:tblPr>
              <w:tblStyle w:val="af5"/>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바탕"/>
                <w:lang w:eastAsia="ko-KR"/>
              </w:rPr>
            </w:pPr>
            <w:r>
              <w:rPr>
                <w:rFonts w:eastAsia="바탕"/>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바탕"/>
                <w:b/>
                <w:lang w:eastAsia="ko-KR"/>
              </w:rPr>
            </w:pPr>
            <w:r>
              <w:rPr>
                <w:rFonts w:eastAsia="바탕"/>
                <w:b/>
                <w:lang w:eastAsia="ko-KR"/>
              </w:rPr>
              <w:t xml:space="preserve">Proposal #9: It is necessary to study how to handle BD/CCE capability when the number of configured DL cells is greater than </w:t>
            </w:r>
            <m:oMath>
              <m:sSubSup>
                <m:sSubSupPr>
                  <m:ctrlPr>
                    <w:rPr>
                      <w:rFonts w:ascii="Cambria Math" w:eastAsia="바탕" w:hAnsi="Cambria Math"/>
                      <w:b/>
                      <w:i/>
                      <w:lang w:eastAsia="ko-KR"/>
                    </w:rPr>
                  </m:ctrlPr>
                </m:sSubSupPr>
                <m:e>
                  <m:r>
                    <m:rPr>
                      <m:sty m:val="bi"/>
                    </m:rPr>
                    <w:rPr>
                      <w:rFonts w:ascii="Cambria Math" w:eastAsia="바탕" w:hAnsi="Cambria Math"/>
                      <w:lang w:eastAsia="ko-KR"/>
                    </w:rPr>
                    <m:t>N</m:t>
                  </m:r>
                </m:e>
                <m:sub>
                  <m:r>
                    <m:rPr>
                      <m:nor/>
                    </m:rPr>
                    <w:rPr>
                      <w:rFonts w:eastAsia="바탕"/>
                      <w:b/>
                      <w:lang w:eastAsia="ko-KR"/>
                    </w:rPr>
                    <m:t>cells</m:t>
                  </m:r>
                  <m:ctrlPr>
                    <w:rPr>
                      <w:rFonts w:ascii="Cambria Math" w:eastAsia="바탕" w:hAnsi="Cambria Math"/>
                      <w:b/>
                      <w:lang w:eastAsia="ko-KR"/>
                    </w:rPr>
                  </m:ctrlPr>
                </m:sub>
                <m:sup>
                  <m:r>
                    <m:rPr>
                      <m:nor/>
                    </m:rPr>
                    <w:rPr>
                      <w:rFonts w:eastAsia="바탕"/>
                      <w:b/>
                      <w:lang w:eastAsia="ko-KR"/>
                    </w:rPr>
                    <m:t>cap</m:t>
                  </m:r>
                  <m:ctrlPr>
                    <w:rPr>
                      <w:rFonts w:ascii="Cambria Math" w:eastAsia="바탕" w:hAnsi="Cambria Math"/>
                      <w:b/>
                      <w:lang w:eastAsia="ko-KR"/>
                    </w:rPr>
                  </m:ctrlPr>
                </m:sup>
              </m:sSubSup>
            </m:oMath>
            <w:r>
              <w:rPr>
                <w:rFonts w:eastAsia="바탕"/>
                <w:b/>
                <w:lang w:eastAsia="ko-KR"/>
              </w:rPr>
              <w:t>.</w:t>
            </w:r>
          </w:p>
          <w:p w14:paraId="2E34FCAF" w14:textId="77777777" w:rsidR="00054158" w:rsidRDefault="00054158">
            <w:pPr>
              <w:spacing w:before="120"/>
              <w:rPr>
                <w:rFonts w:eastAsia="바탕"/>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바탕"/>
              </w:rPr>
            </w:pPr>
            <w:r>
              <w:rPr>
                <w:rFonts w:eastAsia="바탕"/>
              </w:rPr>
              <w:t xml:space="preserve">For cross carrier scheduling the following issues should be studied: </w:t>
            </w:r>
          </w:p>
          <w:p w14:paraId="6D90BBC6" w14:textId="77777777" w:rsidR="00054158" w:rsidRDefault="00054158">
            <w:pPr>
              <w:tabs>
                <w:tab w:val="left" w:pos="360"/>
              </w:tabs>
              <w:jc w:val="both"/>
              <w:rPr>
                <w:rFonts w:eastAsia="바탕"/>
              </w:rPr>
            </w:pPr>
          </w:p>
          <w:p w14:paraId="64807A16" w14:textId="77777777" w:rsidR="00054158" w:rsidRDefault="005B74B2">
            <w:pPr>
              <w:pStyle w:val="afc"/>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c"/>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c"/>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바탕"/>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7"/>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7"/>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7"/>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afc"/>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a7"/>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A6C885" w14:textId="77777777" w:rsidR="00922AD3" w:rsidRDefault="00922AD3" w:rsidP="00436060">
      <w:pPr>
        <w:spacing w:after="0" w:line="240" w:lineRule="auto"/>
      </w:pPr>
      <w:r>
        <w:separator/>
      </w:r>
    </w:p>
  </w:endnote>
  <w:endnote w:type="continuationSeparator" w:id="0">
    <w:p w14:paraId="5A9F452C" w14:textId="77777777" w:rsidR="00922AD3" w:rsidRDefault="00922AD3"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9250AD" w14:textId="77777777" w:rsidR="00922AD3" w:rsidRDefault="00922AD3" w:rsidP="00436060">
      <w:pPr>
        <w:spacing w:after="0" w:line="240" w:lineRule="auto"/>
      </w:pPr>
      <w:r>
        <w:separator/>
      </w:r>
    </w:p>
  </w:footnote>
  <w:footnote w:type="continuationSeparator" w:id="0">
    <w:p w14:paraId="33A9711B" w14:textId="77777777" w:rsidR="00922AD3" w:rsidRDefault="00922AD3" w:rsidP="004360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pPr>
      <w:jc w:val="center"/>
    </w:pPr>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har1">
    <w:name w:val="캡션 Char"/>
    <w:link w:val="a7"/>
    <w:uiPriority w:val="35"/>
    <w:qFormat/>
    <w:rPr>
      <w:b/>
      <w:bCs/>
      <w:lang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c">
    <w:name w:val="List Paragraph"/>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1010.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22.vsdx"/><Relationship Id="rId29" Type="http://schemas.openxmlformats.org/officeDocument/2006/relationships/package" Target="embeddings/Microsoft_Visio_Drawing455.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66.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4.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package" Target="embeddings/Microsoft_Visio_Drawing344.vsdx"/><Relationship Id="rId30" Type="http://schemas.openxmlformats.org/officeDocument/2006/relationships/image" Target="media/image16.png"/><Relationship Id="rId35" Type="http://schemas.openxmlformats.org/officeDocument/2006/relationships/oleObject" Target="embeddings/oleObject3.bin"/><Relationship Id="rId43" Type="http://schemas.openxmlformats.org/officeDocument/2006/relationships/package" Target="embeddings/Microsoft_Visio_Drawing899.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6.bin"/><Relationship Id="rId8" Type="http://schemas.openxmlformats.org/officeDocument/2006/relationships/image" Target="media/image1.emf"/><Relationship Id="rId51" Type="http://schemas.openxmlformats.org/officeDocument/2006/relationships/package" Target="embeddings/Microsoft_Visio_Drawing111212.vsdx"/><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package" Target="embeddings/Microsoft_Visio_Drawing233.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88.vsdx"/><Relationship Id="rId54" Type="http://schemas.openxmlformats.org/officeDocument/2006/relationships/oleObject" Target="embeddings/oleObject5.bin"/><Relationship Id="rId62" Type="http://schemas.openxmlformats.org/officeDocument/2006/relationships/package" Target="embeddings/Microsoft_Visio_Drawing131414.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1111.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1313.vsdx"/><Relationship Id="rId65"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package" Target="embeddings/Microsoft_Visio_Drawing11.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7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138</Pages>
  <Words>48409</Words>
  <Characters>275933</Characters>
  <Application>Microsoft Office Word</Application>
  <DocSecurity>0</DocSecurity>
  <Lines>2299</Lines>
  <Paragraphs>647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323695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최승환/책임연구원/미래기술센터 C&amp;M표준(연)5G무선통신표준Task(seunghwan.choi@lge.com)</cp:lastModifiedBy>
  <cp:revision>4</cp:revision>
  <cp:lastPrinted>2016-08-13T07:06:00Z</cp:lastPrinted>
  <dcterms:created xsi:type="dcterms:W3CDTF">2021-10-14T09:18:00Z</dcterms:created>
  <dcterms:modified xsi:type="dcterms:W3CDTF">2021-10-14T10:37:00Z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